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D044" w14:textId="77777777" w:rsidR="00DE64F8" w:rsidRPr="00DE64F8" w:rsidRDefault="00DE64F8" w:rsidP="00DE64F8">
      <w:pPr>
        <w:shd w:val="clear" w:color="auto" w:fill="FFFFFF"/>
        <w:spacing w:after="0" w:line="240" w:lineRule="atLeast"/>
        <w:textAlignment w:val="baseline"/>
        <w:outlineLvl w:val="2"/>
        <w:rPr>
          <w:rFonts w:ascii="Karla" w:eastAsia="Times New Roman" w:hAnsi="Karla" w:cs="Times New Roman"/>
          <w:color w:val="1ABC9C"/>
          <w:sz w:val="33"/>
          <w:szCs w:val="33"/>
          <w:lang w:eastAsia="es-ES"/>
        </w:rPr>
      </w:pPr>
      <w:r w:rsidRPr="00DE64F8">
        <w:rPr>
          <w:rFonts w:ascii="Karla" w:eastAsia="Times New Roman" w:hAnsi="Karla" w:cs="Times New Roman"/>
          <w:b/>
          <w:bCs/>
          <w:color w:val="FF6600"/>
          <w:sz w:val="33"/>
          <w:szCs w:val="33"/>
          <w:bdr w:val="none" w:sz="0" w:space="0" w:color="auto" w:frame="1"/>
          <w:lang w:eastAsia="es-ES"/>
        </w:rPr>
        <w:t>ESO.</w:t>
      </w:r>
    </w:p>
    <w:p w14:paraId="1E118AF6" w14:textId="77777777" w:rsidR="00DE64F8" w:rsidRPr="00DE64F8" w:rsidRDefault="00DE64F8" w:rsidP="00DE64F8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993366"/>
          <w:sz w:val="21"/>
          <w:szCs w:val="21"/>
          <w:bdr w:val="none" w:sz="0" w:space="0" w:color="auto" w:frame="1"/>
          <w:lang w:eastAsia="es-ES"/>
        </w:rPr>
        <w:t>La evaluación:</w:t>
      </w:r>
    </w:p>
    <w:p w14:paraId="220CB312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Será continua, formativa e integradora.</w:t>
      </w:r>
    </w:p>
    <w:p w14:paraId="5C3E79C0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Si el progreso no es el adecuado, se deberán establecer medidas de refuerzo tan pronto se detecten las dificultades.</w:t>
      </w:r>
    </w:p>
    <w:p w14:paraId="63D1AE23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Los referentes últimos para la evaluación son los objetivos y las competencias.</w:t>
      </w:r>
    </w:p>
    <w:p w14:paraId="7E126A6C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carácter integrador de la evaluación no debe impedir la evaluación diferenciada de cada materia o ámbito teniendo en cuenta sus criterios de evaluación.</w:t>
      </w:r>
    </w:p>
    <w:p w14:paraId="2389BF27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profesorado debe evaluar:</w:t>
      </w:r>
    </w:p>
    <w:p w14:paraId="7676EFD7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Los aprendizajes del alumnado.</w:t>
      </w:r>
    </w:p>
    <w:p w14:paraId="4BDBFF8B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Los procesos de enseñanza.</w:t>
      </w:r>
    </w:p>
    <w:p w14:paraId="51E75BD3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Su práctica docente.</w:t>
      </w:r>
    </w:p>
    <w:p w14:paraId="33BA8FCF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Se realizará una única evaluación colegiada al finalizar el curso escolar.</w:t>
      </w:r>
    </w:p>
    <w:p w14:paraId="172BD018" w14:textId="77777777" w:rsidR="00DE64F8" w:rsidRPr="00DE64F8" w:rsidRDefault="00DE64F8" w:rsidP="00DE64F8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800080"/>
          <w:sz w:val="21"/>
          <w:szCs w:val="21"/>
          <w:bdr w:val="none" w:sz="0" w:space="0" w:color="auto" w:frame="1"/>
          <w:lang w:eastAsia="es-ES"/>
        </w:rPr>
        <w:t>La promoción:</w:t>
      </w:r>
    </w:p>
    <w:p w14:paraId="06DADEAC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Las decisiones de promoción deben tomarse de manera colegiada atendiendo a:</w:t>
      </w:r>
    </w:p>
    <w:p w14:paraId="159D1792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Los objetivos.</w:t>
      </w:r>
    </w:p>
    <w:p w14:paraId="469E0086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Las competencias.</w:t>
      </w:r>
    </w:p>
    <w:p w14:paraId="3686EF45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La valoración de las medidas que favorezcan el progreso del alumnado.</w:t>
      </w:r>
    </w:p>
    <w:p w14:paraId="7195F4B1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Se promocionará cuando el equipo docente considere que:</w:t>
      </w:r>
    </w:p>
    <w:p w14:paraId="20D92735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Las materias no superadas no impiden seguir con éxito el curso siguiente.</w:t>
      </w:r>
    </w:p>
    <w:p w14:paraId="45C1EE4D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Existen expectativas de recuperación.</w:t>
      </w:r>
    </w:p>
    <w:p w14:paraId="3BDFD5D7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La promoción beneficiará la evolución académica del alumno o alumna.</w:t>
      </w:r>
    </w:p>
    <w:p w14:paraId="151B7917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En cualquier caso, se promocionará con dos o menos materias o ámbitos no superados.</w:t>
      </w:r>
    </w:p>
    <w:p w14:paraId="5A0134FB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La no promoción debe estar muy justificada y en el supuesto de aplicarla debe ir asociada a un plan específico de refuerzo.</w:t>
      </w:r>
    </w:p>
    <w:p w14:paraId="7B5A61EA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Excepcionalmente se podrá permanecer dos años en 4º curso (aunque se haya agotado el máximo de permanencia) siempre que:</w:t>
      </w:r>
    </w:p>
    <w:p w14:paraId="556B3AF4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lastRenderedPageBreak/>
        <w:t>El equipo docente considere que la medida favorece la adquisición de las competencias, y</w:t>
      </w:r>
    </w:p>
    <w:p w14:paraId="0DC180AE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alumno o alumna cumpla, como máximo, 19 años el año en que finalice el curso.</w:t>
      </w:r>
    </w:p>
    <w:p w14:paraId="5372451D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La permanencia en el mismo curso debe planificarse para adaptar las condiciones curriculares a las dificultades detectadas, así como al avance y profundización en los aprendizajes no adquiridos. Debe recogerse en un plan específico personalizado.</w:t>
      </w:r>
    </w:p>
    <w:p w14:paraId="61D24253" w14:textId="77777777" w:rsidR="00DE64F8" w:rsidRPr="00DE64F8" w:rsidRDefault="00DE64F8" w:rsidP="00DE64F8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800080"/>
          <w:sz w:val="21"/>
          <w:szCs w:val="21"/>
          <w:bdr w:val="none" w:sz="0" w:space="0" w:color="auto" w:frame="1"/>
          <w:lang w:eastAsia="es-ES"/>
        </w:rPr>
        <w:t>Consejo orientador</w:t>
      </w:r>
      <w:r w:rsidRPr="00DE64F8">
        <w:rPr>
          <w:rFonts w:ascii="Karla" w:eastAsia="Times New Roman" w:hAnsi="Karla" w:cs="Times New Roman"/>
          <w:b/>
          <w:bCs/>
          <w:color w:val="800080"/>
          <w:sz w:val="21"/>
          <w:szCs w:val="21"/>
          <w:bdr w:val="none" w:sz="0" w:space="0" w:color="auto" w:frame="1"/>
          <w:lang w:eastAsia="es-ES"/>
        </w:rPr>
        <w:t>. </w:t>
      </w: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Existirán 2 documentos:</w:t>
      </w:r>
    </w:p>
    <w:p w14:paraId="5A474D5B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primero al finalizar 2º curso de ESO, e incluirá:</w:t>
      </w:r>
    </w:p>
    <w:p w14:paraId="7C6F88C7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grado de consecución de objetivos y competencias, y</w:t>
      </w:r>
    </w:p>
    <w:p w14:paraId="5DDF29A3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La propuesta de opción académica: 3º de ESO, 3º de ESO diversificación o ciclo formativo de grado básico).</w:t>
      </w:r>
    </w:p>
    <w:p w14:paraId="554D290E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segundo al finalizar 4º curso, e incluirá la propuesta sobre la opción u opciones académicas, formativas o profesionales que se consideran más convenientes.</w:t>
      </w:r>
    </w:p>
    <w:p w14:paraId="0C2CEBEF" w14:textId="77777777" w:rsidR="00DE64F8" w:rsidRPr="00DE64F8" w:rsidRDefault="00DE64F8" w:rsidP="00DE64F8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Los </w:t>
      </w:r>
      <w:r w:rsidRPr="00DE64F8">
        <w:rPr>
          <w:rFonts w:ascii="Karla" w:eastAsia="Times New Roman" w:hAnsi="Karla" w:cs="Times New Roman"/>
          <w:color w:val="800080"/>
          <w:sz w:val="21"/>
          <w:szCs w:val="21"/>
          <w:bdr w:val="none" w:sz="0" w:space="0" w:color="auto" w:frame="1"/>
          <w:lang w:eastAsia="es-ES"/>
        </w:rPr>
        <w:t>programas de diversificación curricular</w:t>
      </w: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 deben orientarse a la obtención del título de la ESO y están destinados para el alumnado que presente dificultades relevantes de aprendizaje o para quienes la medida les pudiera ser favorable.</w:t>
      </w:r>
    </w:p>
    <w:p w14:paraId="3263EE3E" w14:textId="77777777" w:rsidR="00DE64F8" w:rsidRPr="00DE64F8" w:rsidRDefault="00DE64F8" w:rsidP="00DE64F8">
      <w:pPr>
        <w:numPr>
          <w:ilvl w:val="0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800080"/>
          <w:sz w:val="21"/>
          <w:szCs w:val="21"/>
          <w:bdr w:val="none" w:sz="0" w:space="0" w:color="auto" w:frame="1"/>
          <w:lang w:eastAsia="es-ES"/>
        </w:rPr>
        <w:t>La titulación:</w:t>
      </w:r>
    </w:p>
    <w:p w14:paraId="3EB77FC3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Obtendrán el título de la ESO quienes hayan adquirido, por decisión colegiada, las competencias y los objetivos.</w:t>
      </w:r>
    </w:p>
    <w:p w14:paraId="20AD415F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título será único y se expedirá sin calificación.</w:t>
      </w:r>
    </w:p>
    <w:p w14:paraId="31B191B6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En todos los casos, el alumnado recibirá, al concluir la escolarización, una certificación oficial que incluirá:</w:t>
      </w:r>
    </w:p>
    <w:p w14:paraId="042FAF70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número de años cursados, y</w:t>
      </w:r>
    </w:p>
    <w:p w14:paraId="346A17A2" w14:textId="77777777" w:rsidR="00DE64F8" w:rsidRPr="00DE64F8" w:rsidRDefault="00DE64F8" w:rsidP="00DE64F8">
      <w:pPr>
        <w:numPr>
          <w:ilvl w:val="2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El nivel de adquisición de las competencias.</w:t>
      </w:r>
    </w:p>
    <w:p w14:paraId="65196150" w14:textId="77777777" w:rsidR="00DE64F8" w:rsidRPr="00DE64F8" w:rsidRDefault="00DE64F8" w:rsidP="00DE64F8">
      <w:pPr>
        <w:numPr>
          <w:ilvl w:val="1"/>
          <w:numId w:val="1"/>
        </w:numPr>
        <w:shd w:val="clear" w:color="auto" w:fill="FFFFFF"/>
        <w:spacing w:after="0" w:line="390" w:lineRule="atLeast"/>
        <w:textAlignment w:val="baseline"/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</w:pPr>
      <w:r w:rsidRPr="00DE64F8">
        <w:rPr>
          <w:rFonts w:ascii="Karla" w:eastAsia="Times New Roman" w:hAnsi="Karla" w:cs="Times New Roman"/>
          <w:color w:val="333333"/>
          <w:sz w:val="21"/>
          <w:szCs w:val="21"/>
          <w:lang w:eastAsia="es-ES"/>
        </w:rPr>
        <w:t>Quienes superen todas las medidas excepcionales de permanencia y no hayan obtenido el título, podrán hacerlo en los dos cursos siguientes a través de la realización de pruebas o actividades personalizadas extraordinarias de las materias no superadas.</w:t>
      </w:r>
    </w:p>
    <w:p w14:paraId="19B7347F" w14:textId="77777777" w:rsidR="00565881" w:rsidRPr="00DE64F8" w:rsidRDefault="00565881" w:rsidP="00DE64F8"/>
    <w:sectPr w:rsidR="00565881" w:rsidRPr="00DE6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65D9"/>
    <w:multiLevelType w:val="multilevel"/>
    <w:tmpl w:val="E0A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F8"/>
    <w:rsid w:val="00565881"/>
    <w:rsid w:val="00D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19A"/>
  <w15:chartTrackingRefBased/>
  <w15:docId w15:val="{47897368-2620-4A31-8E7C-F3BBE45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E64F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DE64F8"/>
    <w:rPr>
      <w:b/>
      <w:bCs/>
    </w:rPr>
  </w:style>
  <w:style w:type="paragraph" w:customStyle="1" w:styleId="p1">
    <w:name w:val="p1"/>
    <w:basedOn w:val="Normal"/>
    <w:rsid w:val="00DE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1</cp:revision>
  <dcterms:created xsi:type="dcterms:W3CDTF">2022-03-30T10:33:00Z</dcterms:created>
  <dcterms:modified xsi:type="dcterms:W3CDTF">2022-03-30T10:34:00Z</dcterms:modified>
</cp:coreProperties>
</file>